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15" w:type="dxa"/>
        <w:tblInd w:w="-2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7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015" w:type="dxa"/>
            <w:tcBorders>
              <w:top w:val="nil"/>
              <w:left w:val="nil"/>
              <w:bottom w:val="single" w:color="A6A6A6" w:sz="4" w:space="0"/>
              <w:right w:val="nil"/>
            </w:tcBorders>
          </w:tcPr>
          <w:p>
            <w:pPr>
              <w:pStyle w:val="5"/>
              <w:spacing w:before="0" w:beforeAutospacing="0" w:after="90" w:afterAutospacing="0" w:line="1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图片 1" descr="c:\print_Labe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print_Label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nil"/>
              <w:left w:val="nil"/>
              <w:bottom w:val="single" w:color="A6A6A6" w:sz="4" w:space="0"/>
              <w:right w:val="nil"/>
            </w:tcBorders>
          </w:tcPr>
          <w:p>
            <w:pPr>
              <w:pStyle w:val="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 w:ascii="华文中宋" w:hAnsi="华文中宋" w:eastAsia="华文中宋" w:cs="Arial"/>
                <w:b/>
                <w:color w:val="000000" w:themeColor="text1"/>
                <w:spacing w:val="80"/>
                <w:sz w:val="52"/>
              </w:rPr>
              <w:t>天 津 仲 裁 委 员 会</w:t>
            </w:r>
          </w:p>
          <w:p>
            <w:pPr>
              <w:pStyle w:val="5"/>
              <w:spacing w:before="0" w:beforeAutospacing="0" w:after="0" w:afterAutospacing="0" w:line="1" w:lineRule="atLeast"/>
              <w:ind w:left="675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</w:rPr>
              <w:t>TIAN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pacing w:val="10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</w:rPr>
              <w:t>JIN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pacing w:val="10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</w:rPr>
              <w:t>ARBITRATION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pacing w:val="10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</w:rPr>
              <w:t>COMMISSION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</w:tr>
    </w:tbl>
    <w:p>
      <w:pPr>
        <w:snapToGrid w:val="0"/>
        <w:spacing w:line="280" w:lineRule="atLeast"/>
        <w:rPr>
          <w:color w:val="000000" w:themeColor="text1"/>
        </w:rPr>
      </w:pPr>
      <w:r>
        <w:rPr>
          <w:rFonts w:ascii="Times New Roman" w:hAnsi="Times New Roman" w:eastAsia="方正兰亭中黑_GBK" w:cs="Times New Roman"/>
          <w:color w:val="000000" w:themeColor="text1"/>
          <w:sz w:val="2"/>
          <w:szCs w:val="2"/>
        </w:rPr>
        <w:t> </w:t>
      </w:r>
    </w:p>
    <w:p>
      <w:pPr>
        <w:snapToGrid w:val="0"/>
        <w:spacing w:line="460" w:lineRule="exact"/>
        <w:jc w:val="center"/>
        <w:rPr>
          <w:rFonts w:ascii="方正小标宋简体" w:eastAsia="方正小标宋简体" w:cs="Times New Roman"/>
          <w:color w:val="000000" w:themeColor="text1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 w:themeColor="text1"/>
          <w:kern w:val="2"/>
          <w:sz w:val="44"/>
          <w:szCs w:val="44"/>
        </w:rPr>
        <w:t>承 诺 书</w:t>
      </w:r>
    </w:p>
    <w:p>
      <w:pPr>
        <w:snapToGrid w:val="0"/>
        <w:spacing w:line="160" w:lineRule="atLeast"/>
        <w:rPr>
          <w:color w:val="000000" w:themeColor="text1"/>
          <w:sz w:val="30"/>
          <w:szCs w:val="30"/>
        </w:rPr>
      </w:pPr>
    </w:p>
    <w:p>
      <w:pPr>
        <w:snapToGrid w:val="0"/>
        <w:spacing w:line="160" w:lineRule="atLeast"/>
        <w:rPr>
          <w:color w:val="000000" w:themeColor="text1"/>
          <w:sz w:val="30"/>
          <w:szCs w:val="30"/>
        </w:rPr>
      </w:pP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为公平、公正、及时地仲裁经济纠纷，保护当事人的合法权益，无愧于当事人的信任，我郑重承诺：</w:t>
      </w: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一、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坚决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拥护中国共产党的领导，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始终做到立场坚定、旗帜鲜明，坚定不移地反对民族分裂主义和宗教极端主义；</w:t>
      </w: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二、忠于祖国，忠于人民，恪守宪法原则，遵守法律法规，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遵守公共秩序，尊重社会公德，尊重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公序良俗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，严格仲裁员操守，珍惜仲裁声誉，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依法履行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仲裁员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职责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三、遵守《天津仲裁委员会章程》《天津仲裁委员会仲裁暂行规则》等一系列制度规定，接受天津仲裁委员会的管理；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四、认真、审慎、高效地审理案件，依法独立行使仲裁权；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五、主动履行披露与回避义务，自觉维护仲裁的公平与公正；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六、平等、公允地对待双方当事人，不以任何方式私自接触当事人、代理人，不偏袒任何一方当事人；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不接受当事人、代理人的请客送礼，不索贿</w:t>
      </w:r>
      <w:r>
        <w:fldChar w:fldCharType="begin"/>
      </w:r>
      <w:r>
        <w:instrText xml:space="preserve"> HYPERLINK "https://www.66law.cn/special/shz/" \t "_blank" \o "受贿" </w:instrText>
      </w:r>
      <w:r>
        <w:fldChar w:fldCharType="separate"/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受贿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fldChar w:fldCharType="end"/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、徇私舞弊、枉法裁决；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七、保障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相应的时间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和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精力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办理案件，积极参加天津仲裁委员会举办的培训、讲座等活动；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八、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严格执行保密制度，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保守仲裁案件秘密、当事人的商业秘密和个人隐私；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九、认真履行仲裁员职责，不迟到、不早退、不缺席；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严格控制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案件审限按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时结案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，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及时处理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所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审案件的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答疑、信访、投诉等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遗留问题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十、尊重仲裁庭其他成员，相互密切配合；</w:t>
      </w:r>
    </w:p>
    <w:p>
      <w:pPr>
        <w:widowControl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十一、仪表庄重、举止得体、用语规范。</w:t>
      </w: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本人如出现违反以上内容的情形，愿按照《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>天津仲裁委员会仲裁员管理办法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》接受处理。</w:t>
      </w: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 xml:space="preserve">                        承诺人：              </w:t>
      </w:r>
    </w:p>
    <w:p>
      <w:pPr>
        <w:widowControl w:val="0"/>
        <w:adjustRightInd w:val="0"/>
        <w:spacing w:line="360" w:lineRule="auto"/>
        <w:ind w:firstLine="64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 xml:space="preserve">                        </w:t>
      </w:r>
    </w:p>
    <w:p>
      <w:pPr>
        <w:widowControl w:val="0"/>
        <w:adjustRightInd w:val="0"/>
        <w:spacing w:line="360" w:lineRule="auto"/>
        <w:ind w:firstLine="5760" w:firstLineChars="1800"/>
        <w:jc w:val="both"/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 xml:space="preserve">  年 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 xml:space="preserve"> 月 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 xml:space="preserve"> 日</w:t>
      </w:r>
    </w:p>
    <w:tbl>
      <w:tblPr>
        <w:tblStyle w:val="6"/>
        <w:tblW w:w="10597" w:type="dxa"/>
        <w:tblInd w:w="-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971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3583" w:type="dxa"/>
            <w:tcBorders>
              <w:top w:val="single" w:color="A6A6A6" w:sz="4" w:space="0"/>
              <w:left w:val="nil"/>
              <w:bottom w:val="nil"/>
              <w:right w:val="nil"/>
            </w:tcBorders>
          </w:tcPr>
          <w:p>
            <w:pPr>
              <w:snapToGrid w:val="0"/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>
              <w:rPr>
                <w:rFonts w:ascii="Times New Roman" w:hAnsi="Times New Roman" w:eastAsia="方正兰亭中黑_GBK" w:cs="Times New Roman"/>
                <w:color w:val="000000" w:themeColor="text1"/>
                <w:sz w:val="2"/>
                <w:szCs w:val="2"/>
              </w:rPr>
              <w:t> </w:t>
            </w:r>
          </w:p>
          <w:p>
            <w:pPr>
              <w:snapToGrid w:val="0"/>
              <w:spacing w:before="100" w:beforeAutospacing="1" w:after="100" w:afterAutospacing="1" w:line="120" w:lineRule="atLeast"/>
              <w:rPr>
                <w:color w:val="000000" w:themeColor="text1"/>
              </w:rPr>
            </w:pPr>
            <w:r>
              <w:rPr>
                <w:rFonts w:hint="eastAsia" w:ascii="方正兰亭中黑_GBK" w:eastAsia="方正兰亭中黑_GBK"/>
                <w:color w:val="000000" w:themeColor="text1"/>
                <w:spacing w:val="10"/>
                <w:sz w:val="15"/>
                <w:szCs w:val="15"/>
              </w:rPr>
              <w:t>天津仲裁委员会</w:t>
            </w:r>
          </w:p>
          <w:p>
            <w:pPr>
              <w:snapToGrid w:val="0"/>
              <w:spacing w:before="30" w:after="30"/>
              <w:ind w:left="30" w:right="30"/>
              <w:rPr>
                <w:color w:val="000000" w:themeColor="text1"/>
              </w:rPr>
            </w:pPr>
            <w:r>
              <w:rPr>
                <w:rFonts w:ascii="Times New Roman" w:hAnsi="Times New Roman" w:eastAsia="方正兰亭中黑_GBK" w:cs="Times New Roman"/>
                <w:color w:val="000000" w:themeColor="text1"/>
                <w:sz w:val="15"/>
                <w:szCs w:val="15"/>
              </w:rPr>
              <w:t> 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电话</w:t>
            </w:r>
            <w:r>
              <w:rPr>
                <w:rFonts w:hint="eastAsia" w:ascii="方正兰亭中黑_GBK" w:eastAsia="方正兰亭中黑_GBK"/>
                <w:color w:val="000000" w:themeColor="text1"/>
                <w:sz w:val="10"/>
                <w:szCs w:val="15"/>
              </w:rPr>
              <w:t xml:space="preserve"> </w:t>
            </w:r>
            <w:r>
              <w:rPr>
                <w:rFonts w:hint="eastAsia" w:ascii="方正兰亭中黑_GBK" w:eastAsia="方正兰亭中黑_GBK"/>
                <w:color w:val="000000" w:themeColor="text1"/>
                <w:sz w:val="15"/>
                <w:szCs w:val="15"/>
              </w:rPr>
              <w:t>.</w:t>
            </w:r>
            <w:r>
              <w:rPr>
                <w:rFonts w:hint="eastAsia" w:ascii="方正兰亭中黑_GBK" w:eastAsia="方正兰亭中黑_GBK"/>
                <w:color w:val="000000" w:themeColor="text1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>022-2801 2068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邮箱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兰亭中黑_GBK" w:eastAsia="方正兰亭中黑_GBK"/>
                <w:color w:val="000000" w:themeColor="text1"/>
                <w:sz w:val="16"/>
                <w:szCs w:val="16"/>
              </w:rPr>
              <w:t>.</w:t>
            </w:r>
            <w:r>
              <w:rPr>
                <w:rFonts w:hint="eastAsia" w:ascii="方正兰亭中黑_GBK"/>
                <w:color w:val="000000" w:themeColor="text1"/>
                <w:sz w:val="21"/>
                <w:szCs w:val="15"/>
              </w:rPr>
              <w:t xml:space="preserve"> </w:t>
            </w:r>
            <w:r>
              <w:rPr>
                <w:rStyle w:val="8"/>
                <w:rFonts w:ascii="Times New Roman" w:hAnsi="Times New Roman" w:eastAsia="方正兰亭中黑_GBK"/>
                <w:color w:val="000000" w:themeColor="text1"/>
                <w:spacing w:val="8"/>
                <w:sz w:val="17"/>
                <w:szCs w:val="17"/>
              </w:rPr>
              <w:t>tjac@tjac.org.cn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传真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兰亭中黑_GBK" w:eastAsia="方正兰亭中黑_GBK"/>
                <w:color w:val="000000" w:themeColor="text1"/>
                <w:sz w:val="15"/>
                <w:szCs w:val="15"/>
              </w:rPr>
              <w:t>.</w:t>
            </w:r>
            <w:r>
              <w:rPr>
                <w:rFonts w:hint="eastAsia" w:ascii="方正兰亭中黑_GBK"/>
                <w:color w:val="000000" w:themeColor="text1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>022-2801 2060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邮编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兰亭中黑_GBK" w:eastAsia="方正兰亭中黑_GBK"/>
                <w:color w:val="000000" w:themeColor="text1"/>
                <w:sz w:val="15"/>
                <w:szCs w:val="15"/>
              </w:rPr>
              <w:t>.</w:t>
            </w:r>
            <w:r>
              <w:rPr>
                <w:rFonts w:hint="eastAsia" w:ascii="方正兰亭中黑_GBK"/>
                <w:color w:val="000000" w:themeColor="text1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>300 201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地址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兰亭中黑_GBK" w:eastAsia="方正兰亭中黑_GBK"/>
                <w:color w:val="000000" w:themeColor="text1"/>
                <w:sz w:val="15"/>
                <w:szCs w:val="15"/>
              </w:rPr>
              <w:t>.</w:t>
            </w:r>
            <w:r>
              <w:rPr>
                <w:rFonts w:hint="eastAsia" w:ascii="方正兰亭中黑_GBK"/>
                <w:color w:val="000000" w:themeColor="text1"/>
                <w:sz w:val="21"/>
                <w:szCs w:val="15"/>
              </w:rPr>
              <w:t xml:space="preserve"> </w:t>
            </w:r>
            <w:r>
              <w:rPr>
                <w:rFonts w:hint="eastAsia" w:ascii="方正博雅宋_GBK" w:hAnsi="微软雅黑" w:eastAsia="方正博雅宋_GBK" w:cs="Arial Unicode MS"/>
                <w:color w:val="000000" w:themeColor="text1"/>
                <w:sz w:val="14"/>
                <w:szCs w:val="14"/>
              </w:rPr>
              <w:t>天津市河西区黄埔南路81号万顺温泉花园B区</w:t>
            </w:r>
          </w:p>
        </w:tc>
        <w:tc>
          <w:tcPr>
            <w:tcW w:w="3971" w:type="dxa"/>
            <w:tcBorders>
              <w:top w:val="single" w:color="A6A6A6" w:sz="4" w:space="0"/>
              <w:left w:val="nil"/>
              <w:bottom w:val="nil"/>
              <w:right w:val="nil"/>
            </w:tcBorders>
          </w:tcPr>
          <w:p>
            <w:pPr>
              <w:snapToGrid w:val="0"/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>
              <w:rPr>
                <w:rFonts w:ascii="Times New Roman" w:hAnsi="Times New Roman" w:eastAsia="方正兰亭中黑_GBK" w:cs="Times New Roman"/>
                <w:color w:val="000000" w:themeColor="text1"/>
                <w:sz w:val="2"/>
                <w:szCs w:val="2"/>
              </w:rPr>
              <w:t> 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兰亭中黑_GBK" w:eastAsia="方正兰亭中黑_GBK"/>
                <w:color w:val="000000" w:themeColor="text1"/>
                <w:sz w:val="15"/>
                <w:szCs w:val="15"/>
              </w:rPr>
              <w:t>天津仲裁委员会中国(天津)自由贸易试验区国际仲裁中心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兰亭中黑_GBK" w:eastAsia="方正兰亭中黑_GBK"/>
                <w:color w:val="000000" w:themeColor="text1"/>
                <w:spacing w:val="8"/>
                <w:sz w:val="15"/>
                <w:szCs w:val="15"/>
              </w:rPr>
              <w:t>天津仲裁委员会知识产权国际仲裁中心</w:t>
            </w:r>
          </w:p>
          <w:p>
            <w:pPr>
              <w:snapToGrid w:val="0"/>
              <w:spacing w:before="30" w:after="30"/>
              <w:ind w:left="30" w:right="30"/>
              <w:rPr>
                <w:color w:val="000000" w:themeColor="text1"/>
              </w:rPr>
            </w:pPr>
            <w:r>
              <w:rPr>
                <w:rFonts w:ascii="Times New Roman" w:hAnsi="Times New Roman" w:eastAsia="方正兰亭中黑_GBK" w:cs="Times New Roman"/>
                <w:color w:val="000000" w:themeColor="text1"/>
                <w:sz w:val="15"/>
                <w:szCs w:val="15"/>
              </w:rPr>
              <w:t> 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电话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3"/>
                <w:szCs w:val="13"/>
              </w:rPr>
              <w:t>.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21"/>
                <w:szCs w:val="13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>022-6620 2428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传真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3"/>
                <w:szCs w:val="13"/>
              </w:rPr>
              <w:t>.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21"/>
                <w:szCs w:val="13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>022-6529 1410</w:t>
            </w:r>
          </w:p>
          <w:p>
            <w:pPr>
              <w:snapToGrid w:val="0"/>
              <w:rPr>
                <w:color w:val="000000" w:themeColor="text1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邮编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0"/>
                <w:szCs w:val="13"/>
              </w:rPr>
              <w:t xml:space="preserve"> </w:t>
            </w: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3"/>
                <w:szCs w:val="13"/>
              </w:rPr>
              <w:t>.</w:t>
            </w:r>
            <w:r>
              <w:rPr>
                <w:rFonts w:hint="eastAsia" w:ascii="方正兰亭黑简体" w:hAnsi="Times New Roman" w:eastAsia="方正兰亭黑简体" w:cs="Times New Roman"/>
                <w:color w:val="000000" w:themeColor="text1"/>
                <w:spacing w:val="4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方正兰亭中黑_GBK" w:cs="Times New Roman"/>
                <w:color w:val="000000" w:themeColor="text1"/>
                <w:spacing w:val="8"/>
                <w:sz w:val="16"/>
                <w:szCs w:val="16"/>
              </w:rPr>
              <w:t xml:space="preserve">300 450 </w:t>
            </w:r>
          </w:p>
          <w:p>
            <w:pPr>
              <w:snapToGrid w:val="0"/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</w:pPr>
            <w:r>
              <w:rPr>
                <w:rFonts w:hint="eastAsia" w:ascii="方正博雅宋_GBK" w:hAnsi="黑体" w:eastAsia="方正博雅宋_GBK" w:cs="Times New Roman"/>
                <w:color w:val="000000" w:themeColor="text1"/>
                <w:spacing w:val="8"/>
                <w:sz w:val="14"/>
                <w:szCs w:val="14"/>
              </w:rPr>
              <w:t>地址 . 天津经济技术开发区第二大街56号泰达MSD-A1座808室</w:t>
            </w:r>
            <w:bookmarkStart w:id="0" w:name="_GoBack"/>
            <w:bookmarkEnd w:id="0"/>
          </w:p>
          <w:p>
            <w:pPr>
              <w:snapToGrid w:val="0"/>
              <w:ind w:left="461" w:leftChars="192"/>
              <w:rPr>
                <w:color w:val="000000" w:themeColor="text1"/>
              </w:rPr>
            </w:pPr>
          </w:p>
        </w:tc>
        <w:tc>
          <w:tcPr>
            <w:tcW w:w="3043" w:type="dxa"/>
            <w:tcBorders>
              <w:top w:val="single" w:color="A6A6A6" w:sz="4" w:space="0"/>
              <w:left w:val="nil"/>
              <w:bottom w:val="nil"/>
              <w:right w:val="nil"/>
            </w:tcBorders>
          </w:tcPr>
          <w:p>
            <w:pPr>
              <w:snapToGrid w:val="0"/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>
              <w:rPr>
                <w:rFonts w:ascii="Times New Roman" w:hAnsi="Times New Roman" w:eastAsia="方正兰亭中黑_GBK" w:cs="Times New Roman"/>
                <w:color w:val="000000" w:themeColor="text1"/>
                <w:sz w:val="2"/>
                <w:szCs w:val="2"/>
              </w:rPr>
              <w:t> </w:t>
            </w:r>
            <w:r>
              <w:rPr>
                <w:rFonts w:hint="eastAsia" w:ascii="方正兰亭中黑_GBK" w:eastAsia="方正兰亭中黑_GBK"/>
                <w:color w:val="000000" w:themeColor="text1"/>
                <w:sz w:val="8"/>
                <w:szCs w:val="8"/>
              </w:rPr>
              <w:t> 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82ADFA-6ED1-4E15-BF77-0515DCE3B7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兰亭中黑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7081B57A-17B5-4350-83A4-EB621BFCBE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B8F3993-39B8-4F0D-A363-3BD970CA7F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E03430-7575-40F9-AA0D-1ECAF4C7FAF8}"/>
  </w:font>
  <w:font w:name="方正博雅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5" w:fontKey="{61985425-9F1B-4086-96CA-73F23A8043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9A190E9-49DF-4AD5-B979-BBCF1202660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7" w:fontKey="{E5656159-0AAE-41C5-B110-660D37048182}"/>
  </w:font>
  <w:font w:name="方正兰亭黑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8" w:fontKey="{AE1B7C93-893B-4791-B0B2-F04A12B6765B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3OWJhMTAyOGVkNjJmY2IyOWZhNjE3ZjVjMzRhOTEifQ=="/>
  </w:docVars>
  <w:rsids>
    <w:rsidRoot w:val="00DD294B"/>
    <w:rsid w:val="00092F6E"/>
    <w:rsid w:val="000F7D7C"/>
    <w:rsid w:val="00103CE3"/>
    <w:rsid w:val="0011239D"/>
    <w:rsid w:val="001A66E2"/>
    <w:rsid w:val="001C22C3"/>
    <w:rsid w:val="001C55D9"/>
    <w:rsid w:val="00205E1F"/>
    <w:rsid w:val="002134A8"/>
    <w:rsid w:val="00217FD3"/>
    <w:rsid w:val="002547D1"/>
    <w:rsid w:val="00286A7D"/>
    <w:rsid w:val="003018A5"/>
    <w:rsid w:val="003121BC"/>
    <w:rsid w:val="003336B2"/>
    <w:rsid w:val="0039306D"/>
    <w:rsid w:val="003A6BCA"/>
    <w:rsid w:val="003B2BC5"/>
    <w:rsid w:val="00403CB7"/>
    <w:rsid w:val="004631D1"/>
    <w:rsid w:val="004C33A2"/>
    <w:rsid w:val="004D741D"/>
    <w:rsid w:val="0055067C"/>
    <w:rsid w:val="005926F8"/>
    <w:rsid w:val="00666668"/>
    <w:rsid w:val="007541B2"/>
    <w:rsid w:val="00782DA0"/>
    <w:rsid w:val="00832CF7"/>
    <w:rsid w:val="008D0813"/>
    <w:rsid w:val="008D22BA"/>
    <w:rsid w:val="009225B6"/>
    <w:rsid w:val="009C51AC"/>
    <w:rsid w:val="009D5169"/>
    <w:rsid w:val="00A3306C"/>
    <w:rsid w:val="00A34F1D"/>
    <w:rsid w:val="00A5759D"/>
    <w:rsid w:val="00AB16CA"/>
    <w:rsid w:val="00AF661B"/>
    <w:rsid w:val="00B34548"/>
    <w:rsid w:val="00BF2DD3"/>
    <w:rsid w:val="00C5546D"/>
    <w:rsid w:val="00C76E88"/>
    <w:rsid w:val="00CA0AEA"/>
    <w:rsid w:val="00CA2966"/>
    <w:rsid w:val="00DA2017"/>
    <w:rsid w:val="00DD1083"/>
    <w:rsid w:val="00DD294B"/>
    <w:rsid w:val="00E15857"/>
    <w:rsid w:val="00E66380"/>
    <w:rsid w:val="00EE239A"/>
    <w:rsid w:val="00EF4B0F"/>
    <w:rsid w:val="00F7771C"/>
    <w:rsid w:val="00FC37E7"/>
    <w:rsid w:val="00FC423A"/>
    <w:rsid w:val="00FC78A0"/>
    <w:rsid w:val="00FF09C7"/>
    <w:rsid w:val="513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uiPriority w:val="99"/>
    <w:pPr>
      <w:spacing w:before="100" w:beforeAutospacing="1" w:after="100" w:afterAutospacing="1"/>
    </w:pPr>
  </w:style>
  <w:style w:type="character" w:styleId="8">
    <w:name w:val="Hyperlink"/>
    <w:basedOn w:val="7"/>
    <w:autoRedefine/>
    <w:semiHidden/>
    <w:unhideWhenUsed/>
    <w:qFormat/>
    <w:uiPriority w:val="99"/>
  </w:style>
  <w:style w:type="character" w:customStyle="1" w:styleId="9">
    <w:name w:val="grame"/>
    <w:basedOn w:val="7"/>
    <w:uiPriority w:val="0"/>
  </w:style>
  <w:style w:type="character" w:customStyle="1" w:styleId="10">
    <w:name w:val="批注框文本 Char"/>
    <w:basedOn w:val="7"/>
    <w:link w:val="2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眉 Char"/>
    <w:basedOn w:val="7"/>
    <w:link w:val="4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Char"/>
    <w:basedOn w:val="7"/>
    <w:link w:val="3"/>
    <w:autoRedefine/>
    <w:semiHidden/>
    <w:qFormat/>
    <w:uiPriority w:val="99"/>
    <w:rPr>
      <w:rFonts w:ascii="宋体" w:hAnsi="宋体" w:eastAsia="宋体" w:cs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885</Characters>
  <Lines>7</Lines>
  <Paragraphs>2</Paragraphs>
  <TotalTime>21</TotalTime>
  <ScaleCrop>false</ScaleCrop>
  <LinksUpToDate>false</LinksUpToDate>
  <CharactersWithSpaces>1038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2020-09-10T07:49:00Z</dcterms:created>
  <dc:creator>windows</dc:creator>
  <cp:lastModifiedBy>张</cp:lastModifiedBy>
  <dcterms:modified xsi:type="dcterms:W3CDTF">2024-04-23T02:33:51Z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7551A1087C7340E2B31B79EBA87BAAC1_12</vt:lpwstr>
  </property>
</Properties>
</file>