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AC" w:rsidRDefault="006B6DAC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7B55D3" w:rsidRDefault="007B55D3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6B6DAC" w:rsidRDefault="00CA2969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天津仲裁委员会办公室</w:t>
      </w:r>
    </w:p>
    <w:p w:rsidR="006B6DAC" w:rsidRDefault="00CA2969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/>
          <w:w w:val="95"/>
          <w:sz w:val="44"/>
          <w:szCs w:val="44"/>
        </w:rPr>
        <w:t>201</w:t>
      </w:r>
      <w:r>
        <w:rPr>
          <w:rFonts w:eastAsia="黑体" w:hint="eastAsia"/>
          <w:w w:val="95"/>
          <w:sz w:val="44"/>
          <w:szCs w:val="44"/>
        </w:rPr>
        <w:t>9</w:t>
      </w:r>
      <w:r>
        <w:rPr>
          <w:rFonts w:eastAsia="黑体"/>
          <w:w w:val="95"/>
          <w:sz w:val="44"/>
          <w:szCs w:val="44"/>
        </w:rPr>
        <w:t>年部门预算编制说明</w:t>
      </w:r>
    </w:p>
    <w:p w:rsidR="006B6DAC" w:rsidRDefault="006B6DA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B6DAC" w:rsidRDefault="00CA2969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一、部门主要职责</w:t>
      </w:r>
    </w:p>
    <w:p w:rsidR="006B6DAC" w:rsidRDefault="00CA2969">
      <w:pPr>
        <w:spacing w:line="620" w:lineRule="exact"/>
        <w:ind w:firstLine="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天津仲裁委员会自1995年9月28日成立，依据《中华人民共和国仲裁法》的有关规定，保证公正及时地仲裁经济纠纷，保护当事人的合法利益，保障社会主义市场经济健康发展。根据双方当事人自愿达成的仲裁协议，受理并仲裁平等主体的公民、法人和其他组织之间发生的合同纠纷和其他财产权益纠纷，为当事人提供法律咨询服务。仲裁委下设办事机构--天津仲裁委员会办公室</w:t>
      </w:r>
      <w:r>
        <w:rPr>
          <w:rFonts w:ascii="仿宋_GB2312" w:eastAsia="仿宋_GB2312" w:cs="仿宋_GB2312" w:hint="eastAsia"/>
          <w:sz w:val="32"/>
          <w:szCs w:val="32"/>
        </w:rPr>
        <w:t>（下称仲裁办）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，为</w:t>
      </w:r>
      <w:r>
        <w:rPr>
          <w:rFonts w:ascii="仿宋_GB2312" w:eastAsia="仿宋_GB2312" w:cs="仿宋_GB2312" w:hint="eastAsia"/>
          <w:sz w:val="32"/>
          <w:szCs w:val="32"/>
        </w:rPr>
        <w:t>副局级经费自理公益二类事业单位，预算级次为二级预算单位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6B6DAC" w:rsidRDefault="00CA2969">
      <w:pPr>
        <w:spacing w:line="620" w:lineRule="exact"/>
        <w:ind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二、部门机构设置情况</w:t>
      </w:r>
    </w:p>
    <w:p w:rsidR="006B6DAC" w:rsidRDefault="00CA2969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仲裁办内设相当于副处级规格的部门4个，分别为设综合部、业务一部、业务二部、业务三部；下设相当于处级规格的分支机构1个，为天津仲裁委员会中国（天津）自由贸易试验区国际仲裁中心（天津仲裁委员会知识产权国际仲裁中心）（下称自贸仲裁中心)。</w:t>
      </w:r>
    </w:p>
    <w:p w:rsidR="006B6DAC" w:rsidRDefault="00CA2969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三、部门预算草案编制情况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（一）部门收入预算情况说明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>部门收入预算</w:t>
      </w:r>
      <w:r>
        <w:rPr>
          <w:rFonts w:eastAsia="仿宋_GB2312" w:hint="eastAsia"/>
          <w:sz w:val="30"/>
          <w:szCs w:val="30"/>
        </w:rPr>
        <w:t>0.9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</w:t>
      </w:r>
      <w:r>
        <w:rPr>
          <w:rFonts w:eastAsia="仿宋_GB2312" w:hint="eastAsia"/>
          <w:sz w:val="30"/>
          <w:szCs w:val="30"/>
        </w:rPr>
        <w:t>相同</w:t>
      </w:r>
      <w:r>
        <w:rPr>
          <w:rFonts w:eastAsia="仿宋_GB2312"/>
          <w:sz w:val="30"/>
          <w:szCs w:val="30"/>
        </w:rPr>
        <w:t>。其中，本年收入合计</w:t>
      </w:r>
      <w:r>
        <w:rPr>
          <w:rFonts w:eastAsia="仿宋_GB2312" w:hint="eastAsia"/>
          <w:sz w:val="30"/>
          <w:szCs w:val="30"/>
        </w:rPr>
        <w:t>0.9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</w:t>
      </w:r>
      <w:r>
        <w:rPr>
          <w:rFonts w:eastAsia="仿宋_GB2312" w:hint="eastAsia"/>
          <w:sz w:val="30"/>
          <w:szCs w:val="30"/>
        </w:rPr>
        <w:t>相同，</w:t>
      </w:r>
      <w:r>
        <w:rPr>
          <w:rFonts w:eastAsia="仿宋_GB2312"/>
          <w:sz w:val="30"/>
          <w:szCs w:val="30"/>
        </w:rPr>
        <w:t>包括财政拨款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0.9</w:t>
      </w:r>
      <w:r>
        <w:rPr>
          <w:rFonts w:eastAsia="仿宋_GB2312"/>
          <w:sz w:val="30"/>
          <w:szCs w:val="30"/>
        </w:rPr>
        <w:t>万元、事业收入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万元、上级补助收入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万元、附属单位上缴收入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万元、经营收入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万元、其他收入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万元；用事业基金弥补收支差额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万元；上年结转和结余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万元。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（二）部门支出预算情况说明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部门支出预算</w:t>
      </w:r>
      <w:r>
        <w:rPr>
          <w:rFonts w:eastAsia="仿宋_GB2312" w:hint="eastAsia"/>
          <w:sz w:val="30"/>
          <w:szCs w:val="30"/>
        </w:rPr>
        <w:t>0.9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年预算相</w:t>
      </w:r>
      <w:r>
        <w:rPr>
          <w:rFonts w:eastAsia="仿宋_GB2312" w:hint="eastAsia"/>
          <w:sz w:val="30"/>
          <w:szCs w:val="30"/>
        </w:rPr>
        <w:t>同</w:t>
      </w:r>
      <w:r>
        <w:rPr>
          <w:rFonts w:eastAsia="仿宋_GB2312"/>
          <w:sz w:val="30"/>
          <w:szCs w:val="30"/>
        </w:rPr>
        <w:t>，其中：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公共安全</w:t>
      </w:r>
      <w:r>
        <w:rPr>
          <w:rFonts w:eastAsia="仿宋_GB2312"/>
          <w:sz w:val="30"/>
          <w:szCs w:val="30"/>
        </w:rPr>
        <w:t>科目支出</w:t>
      </w:r>
      <w:r>
        <w:rPr>
          <w:rFonts w:eastAsia="仿宋_GB2312" w:hint="eastAsia"/>
          <w:sz w:val="30"/>
          <w:szCs w:val="30"/>
        </w:rPr>
        <w:t>0.6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 w:hint="eastAsia"/>
          <w:sz w:val="30"/>
          <w:szCs w:val="30"/>
        </w:rPr>
        <w:t>仲裁办在全额拨款期间一名退休人员的津补贴等；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卫生健康</w:t>
      </w:r>
      <w:r>
        <w:rPr>
          <w:rFonts w:eastAsia="仿宋_GB2312"/>
          <w:sz w:val="30"/>
          <w:szCs w:val="30"/>
        </w:rPr>
        <w:t>支出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0.3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 w:hint="eastAsia"/>
          <w:sz w:val="30"/>
          <w:szCs w:val="30"/>
        </w:rPr>
        <w:t>仲裁办在全额拨款期间一名退休人员的医疗支出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。</w:t>
      </w:r>
    </w:p>
    <w:p w:rsidR="006B6DAC" w:rsidRDefault="00CA2969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、其他重要事项的情况说明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（一）机关运行经费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本部门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年安排机关运行经费</w:t>
      </w:r>
      <w:r>
        <w:rPr>
          <w:rFonts w:eastAsia="仿宋_GB2312" w:hint="eastAsia"/>
          <w:sz w:val="30"/>
          <w:szCs w:val="30"/>
        </w:rPr>
        <w:t>即福利费</w:t>
      </w:r>
      <w:r>
        <w:rPr>
          <w:rFonts w:eastAsia="仿宋_GB2312" w:hint="eastAsia"/>
          <w:sz w:val="30"/>
          <w:szCs w:val="30"/>
        </w:rPr>
        <w:t>0.1</w:t>
      </w:r>
      <w:r>
        <w:rPr>
          <w:rFonts w:eastAsia="仿宋_GB2312" w:hint="eastAsia"/>
          <w:sz w:val="30"/>
          <w:szCs w:val="30"/>
        </w:rPr>
        <w:t>万元。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（二）政府采购情况</w:t>
      </w:r>
    </w:p>
    <w:p w:rsidR="006B6DAC" w:rsidRDefault="00CA2969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本部门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未安排</w:t>
      </w:r>
      <w:r>
        <w:rPr>
          <w:rFonts w:eastAsia="仿宋_GB2312"/>
          <w:sz w:val="30"/>
          <w:szCs w:val="30"/>
        </w:rPr>
        <w:t>政府采购</w:t>
      </w:r>
      <w:r>
        <w:rPr>
          <w:rFonts w:eastAsia="仿宋_GB2312" w:hint="eastAsia"/>
          <w:sz w:val="30"/>
          <w:szCs w:val="30"/>
        </w:rPr>
        <w:t>预算</w:t>
      </w:r>
      <w:r>
        <w:rPr>
          <w:rFonts w:eastAsia="仿宋_GB2312"/>
          <w:sz w:val="30"/>
          <w:szCs w:val="30"/>
        </w:rPr>
        <w:t>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三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国有资产占用情况</w:t>
      </w:r>
    </w:p>
    <w:p w:rsidR="006B6DAC" w:rsidRDefault="00CA2969">
      <w:pPr>
        <w:spacing w:line="580" w:lineRule="exact"/>
        <w:ind w:firstLineChars="200" w:firstLine="6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 w:hint="eastAsia"/>
          <w:color w:val="000000"/>
          <w:sz w:val="30"/>
          <w:szCs w:val="30"/>
        </w:rPr>
        <w:t>6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 w:hint="eastAsia"/>
          <w:color w:val="000000"/>
          <w:sz w:val="30"/>
          <w:szCs w:val="30"/>
        </w:rPr>
        <w:t>30</w:t>
      </w:r>
      <w:r>
        <w:rPr>
          <w:rFonts w:eastAsia="仿宋_GB2312"/>
          <w:color w:val="000000"/>
          <w:sz w:val="30"/>
          <w:szCs w:val="30"/>
        </w:rPr>
        <w:t>日，</w:t>
      </w:r>
      <w:r>
        <w:rPr>
          <w:rFonts w:eastAsia="仿宋_GB2312" w:hint="eastAsia"/>
          <w:sz w:val="30"/>
          <w:szCs w:val="30"/>
        </w:rPr>
        <w:t>仲裁办</w:t>
      </w:r>
      <w:r>
        <w:rPr>
          <w:rFonts w:eastAsia="仿宋_GB2312"/>
          <w:color w:val="000000"/>
          <w:sz w:val="30"/>
          <w:szCs w:val="30"/>
        </w:rPr>
        <w:t>共有车辆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/>
          <w:color w:val="000000"/>
          <w:sz w:val="30"/>
          <w:szCs w:val="30"/>
        </w:rPr>
        <w:t>辆，其中：一般公务用车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/>
          <w:color w:val="000000"/>
          <w:sz w:val="30"/>
          <w:szCs w:val="30"/>
        </w:rPr>
        <w:t>辆、一般执法执勤用车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辆、特种专业技术用车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>辆、</w:t>
      </w:r>
      <w:r>
        <w:rPr>
          <w:rFonts w:eastAsia="仿宋_GB2312"/>
          <w:color w:val="000000"/>
          <w:sz w:val="30"/>
          <w:szCs w:val="30"/>
        </w:rPr>
        <w:t>其他用车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辆，</w:t>
      </w:r>
      <w:r>
        <w:rPr>
          <w:rFonts w:eastAsia="仿宋_GB2312"/>
          <w:sz w:val="30"/>
          <w:szCs w:val="30"/>
        </w:rPr>
        <w:t>其他用车主要包括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 w:hint="eastAsia"/>
          <w:sz w:val="30"/>
          <w:szCs w:val="30"/>
        </w:rPr>
        <w:t>辆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。单价</w:t>
      </w:r>
      <w:r>
        <w:rPr>
          <w:rFonts w:eastAsia="仿宋_GB2312"/>
          <w:color w:val="000000"/>
          <w:sz w:val="30"/>
          <w:szCs w:val="30"/>
        </w:rPr>
        <w:t>50</w:t>
      </w:r>
      <w:r>
        <w:rPr>
          <w:rFonts w:eastAsia="仿宋_GB2312"/>
          <w:color w:val="000000"/>
          <w:sz w:val="30"/>
          <w:szCs w:val="30"/>
        </w:rPr>
        <w:t>万元以上的通用设备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台（套），单价</w:t>
      </w:r>
      <w:r>
        <w:rPr>
          <w:rFonts w:eastAsia="仿宋_GB2312"/>
          <w:color w:val="000000"/>
          <w:sz w:val="30"/>
          <w:szCs w:val="30"/>
        </w:rPr>
        <w:t>100</w:t>
      </w:r>
      <w:r>
        <w:rPr>
          <w:rFonts w:eastAsia="仿宋_GB2312"/>
          <w:color w:val="000000"/>
          <w:sz w:val="30"/>
          <w:szCs w:val="30"/>
        </w:rPr>
        <w:t>万元以上的专用设备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台（套）。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四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绩效目标设置情况</w:t>
      </w:r>
    </w:p>
    <w:p w:rsidR="006B6DAC" w:rsidRDefault="00CA2969">
      <w:pPr>
        <w:spacing w:line="580" w:lineRule="exact"/>
        <w:ind w:firstLineChars="200" w:firstLine="6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lastRenderedPageBreak/>
        <w:t>2019</w:t>
      </w:r>
      <w:r>
        <w:rPr>
          <w:rFonts w:eastAsia="仿宋_GB2312"/>
          <w:color w:val="000000"/>
          <w:sz w:val="30"/>
          <w:szCs w:val="30"/>
        </w:rPr>
        <w:t>年，本部门实行绩效目标管理的项目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个，涉及预算金额</w:t>
      </w:r>
      <w:r>
        <w:rPr>
          <w:rFonts w:eastAsia="仿宋_GB2312" w:hint="eastAsia"/>
          <w:sz w:val="30"/>
          <w:szCs w:val="30"/>
        </w:rPr>
        <w:t>0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五</w:t>
      </w:r>
      <w:r>
        <w:rPr>
          <w:rFonts w:eastAsia="楷体_GB2312"/>
          <w:b/>
          <w:sz w:val="30"/>
          <w:szCs w:val="30"/>
        </w:rPr>
        <w:t>）专业性名词解释</w:t>
      </w:r>
    </w:p>
    <w:p w:rsidR="006B6DAC" w:rsidRDefault="00CA2969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 w:rsidR="006B6DAC" w:rsidRDefault="00CA2969" w:rsidP="007B55D3">
      <w:pPr>
        <w:spacing w:line="600" w:lineRule="exact"/>
        <w:ind w:firstLineChars="200" w:firstLine="6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六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关于空表的说明</w:t>
      </w:r>
    </w:p>
    <w:p w:rsidR="006B6DAC" w:rsidRDefault="00CA2969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本部门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政府性基金预算支出情况表为空表。</w:t>
      </w:r>
    </w:p>
    <w:p w:rsidR="006B6DAC" w:rsidRDefault="00CA2969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本部门</w:t>
      </w:r>
      <w:r>
        <w:rPr>
          <w:rFonts w:eastAsia="仿宋_GB2312" w:hint="eastAsia"/>
          <w:sz w:val="30"/>
          <w:szCs w:val="30"/>
        </w:rPr>
        <w:t>2019</w:t>
      </w:r>
      <w:r>
        <w:rPr>
          <w:rFonts w:eastAsia="仿宋_GB2312" w:hint="eastAsia"/>
          <w:sz w:val="30"/>
          <w:szCs w:val="30"/>
        </w:rPr>
        <w:t>年一般公共预算“三公”经费支出情况表为空表。</w:t>
      </w:r>
    </w:p>
    <w:p w:rsidR="006B6DAC" w:rsidRDefault="006B6DAC">
      <w:pPr>
        <w:spacing w:line="580" w:lineRule="exact"/>
        <w:rPr>
          <w:rFonts w:eastAsia="楷体_GB2312"/>
          <w:sz w:val="30"/>
          <w:szCs w:val="30"/>
        </w:rPr>
      </w:pPr>
    </w:p>
    <w:p w:rsidR="006B6DAC" w:rsidRDefault="006B6DAC">
      <w:pPr>
        <w:spacing w:line="580" w:lineRule="exact"/>
        <w:rPr>
          <w:rFonts w:eastAsia="黑体"/>
          <w:sz w:val="36"/>
          <w:szCs w:val="36"/>
        </w:rPr>
      </w:pPr>
    </w:p>
    <w:p w:rsidR="006B6DAC" w:rsidRDefault="00CA2969">
      <w:pPr>
        <w:spacing w:line="580" w:lineRule="exact"/>
        <w:rPr>
          <w:rFonts w:eastAsia="仿宋_GB2312"/>
          <w:sz w:val="30"/>
          <w:szCs w:val="30"/>
        </w:rPr>
      </w:pPr>
      <w:r>
        <w:rPr>
          <w:rFonts w:eastAsia="黑体" w:hint="eastAsia"/>
          <w:sz w:val="36"/>
          <w:szCs w:val="36"/>
        </w:rPr>
        <w:t xml:space="preserve">                              </w:t>
      </w:r>
    </w:p>
    <w:p w:rsidR="006B6DAC" w:rsidRDefault="00CA2969">
      <w:pPr>
        <w:jc w:val="both"/>
        <w:rPr>
          <w:rFonts w:eastAsia="黑体"/>
          <w:w w:val="95"/>
          <w:sz w:val="32"/>
          <w:szCs w:val="32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w w:val="95"/>
          <w:sz w:val="32"/>
          <w:szCs w:val="32"/>
        </w:rPr>
        <w:lastRenderedPageBreak/>
        <w:t>附件</w:t>
      </w:r>
      <w:r>
        <w:rPr>
          <w:rFonts w:eastAsia="黑体"/>
          <w:w w:val="95"/>
          <w:sz w:val="32"/>
          <w:szCs w:val="32"/>
        </w:rPr>
        <w:t>9</w:t>
      </w:r>
    </w:p>
    <w:p w:rsidR="006B6DAC" w:rsidRDefault="006B6DAC">
      <w:pPr>
        <w:spacing w:line="600" w:lineRule="exact"/>
        <w:jc w:val="both"/>
        <w:rPr>
          <w:rFonts w:eastAsia="黑体"/>
          <w:w w:val="95"/>
          <w:sz w:val="32"/>
          <w:szCs w:val="32"/>
        </w:rPr>
      </w:pPr>
    </w:p>
    <w:p w:rsidR="006B6DAC" w:rsidRDefault="00CA2969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天津仲裁委员会办公室</w:t>
      </w:r>
      <w:r>
        <w:rPr>
          <w:rFonts w:eastAsia="黑体"/>
          <w:w w:val="95"/>
          <w:sz w:val="44"/>
          <w:szCs w:val="44"/>
        </w:rPr>
        <w:t>201</w:t>
      </w:r>
      <w:r>
        <w:rPr>
          <w:rFonts w:eastAsia="黑体" w:hint="eastAsia"/>
          <w:w w:val="95"/>
          <w:sz w:val="44"/>
          <w:szCs w:val="44"/>
        </w:rPr>
        <w:t>9</w:t>
      </w:r>
      <w:r>
        <w:rPr>
          <w:rFonts w:eastAsia="黑体"/>
          <w:w w:val="95"/>
          <w:sz w:val="44"/>
          <w:szCs w:val="44"/>
        </w:rPr>
        <w:t>年一般</w:t>
      </w:r>
    </w:p>
    <w:p w:rsidR="006B6DAC" w:rsidRDefault="00CA2969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/>
          <w:w w:val="95"/>
          <w:sz w:val="44"/>
          <w:szCs w:val="44"/>
        </w:rPr>
        <w:t>公共预算</w:t>
      </w:r>
      <w:r>
        <w:rPr>
          <w:rFonts w:eastAsia="黑体"/>
          <w:w w:val="95"/>
          <w:sz w:val="44"/>
          <w:szCs w:val="44"/>
        </w:rPr>
        <w:t xml:space="preserve"> “</w:t>
      </w:r>
      <w:r>
        <w:rPr>
          <w:rFonts w:eastAsia="黑体"/>
          <w:w w:val="95"/>
          <w:sz w:val="44"/>
          <w:szCs w:val="44"/>
        </w:rPr>
        <w:t>三公</w:t>
      </w:r>
      <w:r>
        <w:rPr>
          <w:rFonts w:eastAsia="黑体"/>
          <w:w w:val="95"/>
          <w:sz w:val="44"/>
          <w:szCs w:val="44"/>
        </w:rPr>
        <w:t>”</w:t>
      </w:r>
      <w:r>
        <w:rPr>
          <w:rFonts w:eastAsia="黑体"/>
          <w:w w:val="95"/>
          <w:sz w:val="44"/>
          <w:szCs w:val="44"/>
        </w:rPr>
        <w:t>经费</w:t>
      </w:r>
      <w:r>
        <w:rPr>
          <w:rFonts w:eastAsia="黑体" w:hint="eastAsia"/>
          <w:w w:val="95"/>
          <w:sz w:val="44"/>
          <w:szCs w:val="44"/>
        </w:rPr>
        <w:t>支出</w:t>
      </w:r>
      <w:r>
        <w:rPr>
          <w:rFonts w:eastAsia="黑体"/>
          <w:w w:val="95"/>
          <w:sz w:val="44"/>
          <w:szCs w:val="44"/>
        </w:rPr>
        <w:t>情况说明</w:t>
      </w:r>
    </w:p>
    <w:p w:rsidR="006B6DAC" w:rsidRDefault="006B6D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B6DAC" w:rsidRDefault="00CA2969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本部门一般公共预算未安排“三公”经费”支出。</w:t>
      </w:r>
    </w:p>
    <w:p w:rsidR="006B6DAC" w:rsidRDefault="006B6DAC">
      <w:pPr>
        <w:spacing w:line="580" w:lineRule="exact"/>
      </w:pPr>
    </w:p>
    <w:p w:rsidR="006B6DAC" w:rsidRDefault="006B6DAC"/>
    <w:p w:rsidR="006B6DAC" w:rsidRDefault="006B6DAC"/>
    <w:p w:rsidR="006B6DAC" w:rsidRDefault="006B6DAC"/>
    <w:p w:rsidR="006B6DAC" w:rsidRDefault="00CA2969">
      <w:pPr>
        <w:spacing w:line="580" w:lineRule="exact"/>
        <w:ind w:firstLineChars="1750" w:firstLine="4200"/>
        <w:rPr>
          <w:rFonts w:ascii="宋体"/>
        </w:rPr>
      </w:pPr>
      <w:r>
        <w:rPr>
          <w:rFonts w:hint="eastAsia"/>
        </w:rPr>
        <w:t xml:space="preserve">                                               </w:t>
      </w:r>
      <w:bookmarkStart w:id="0" w:name="_GoBack"/>
      <w:bookmarkEnd w:id="0"/>
    </w:p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Default="006B6DAC"/>
    <w:p w:rsidR="006B6DAC" w:rsidRPr="00C516C0" w:rsidRDefault="006B6DAC">
      <w:pPr>
        <w:jc w:val="center"/>
        <w:rPr>
          <w:rFonts w:ascii="黑体" w:eastAsia="黑体"/>
          <w:w w:val="95"/>
          <w:sz w:val="44"/>
          <w:szCs w:val="44"/>
        </w:rPr>
      </w:pPr>
    </w:p>
    <w:sectPr w:rsidR="006B6DAC" w:rsidRPr="00C516C0" w:rsidSect="006B6DAC">
      <w:headerReference w:type="default" r:id="rId7"/>
      <w:footerReference w:type="even" r:id="rId8"/>
      <w:footerReference w:type="default" r:id="rId9"/>
      <w:pgSz w:w="11907" w:h="16840"/>
      <w:pgMar w:top="2098" w:right="1474" w:bottom="1304" w:left="1588" w:header="765" w:footer="765" w:gutter="0"/>
      <w:pgNumType w:fmt="numberInDash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E8" w:rsidRDefault="006712E8" w:rsidP="006B6DAC">
      <w:pPr>
        <w:spacing w:line="240" w:lineRule="auto"/>
      </w:pPr>
      <w:r>
        <w:separator/>
      </w:r>
    </w:p>
  </w:endnote>
  <w:endnote w:type="continuationSeparator" w:id="0">
    <w:p w:rsidR="006712E8" w:rsidRDefault="006712E8" w:rsidP="006B6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AC" w:rsidRDefault="00C031A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A29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6DAC" w:rsidRDefault="006B6DA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AC" w:rsidRDefault="00C031A8">
    <w:pPr>
      <w:pStyle w:val="a5"/>
      <w:jc w:val="center"/>
    </w:pPr>
    <w:r>
      <w:fldChar w:fldCharType="begin"/>
    </w:r>
    <w:r w:rsidR="00CA2969">
      <w:instrText xml:space="preserve"> PAGE   \* MERGEFORMAT </w:instrText>
    </w:r>
    <w:r>
      <w:fldChar w:fldCharType="separate"/>
    </w:r>
    <w:r w:rsidR="00C516C0" w:rsidRPr="00C516C0">
      <w:rPr>
        <w:noProof/>
        <w:lang w:val="zh-CN"/>
      </w:rPr>
      <w:t>-</w:t>
    </w:r>
    <w:r w:rsidR="00C516C0">
      <w:rPr>
        <w:noProof/>
      </w:rPr>
      <w:t xml:space="preserve"> 1 -</w:t>
    </w:r>
    <w:r>
      <w:fldChar w:fldCharType="end"/>
    </w:r>
  </w:p>
  <w:p w:rsidR="006B6DAC" w:rsidRDefault="006B6DA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E8" w:rsidRDefault="006712E8" w:rsidP="006B6DAC">
      <w:pPr>
        <w:spacing w:line="240" w:lineRule="auto"/>
      </w:pPr>
      <w:r>
        <w:separator/>
      </w:r>
    </w:p>
  </w:footnote>
  <w:footnote w:type="continuationSeparator" w:id="0">
    <w:p w:rsidR="006712E8" w:rsidRDefault="006712E8" w:rsidP="006B6D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AC" w:rsidRDefault="006B6DA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D77"/>
    <w:rsid w:val="0001204D"/>
    <w:rsid w:val="00014B7E"/>
    <w:rsid w:val="00025DCF"/>
    <w:rsid w:val="00026B49"/>
    <w:rsid w:val="00035889"/>
    <w:rsid w:val="000546FB"/>
    <w:rsid w:val="000561F0"/>
    <w:rsid w:val="00066DA5"/>
    <w:rsid w:val="00067A7F"/>
    <w:rsid w:val="0008012D"/>
    <w:rsid w:val="00081133"/>
    <w:rsid w:val="00082771"/>
    <w:rsid w:val="00093F1A"/>
    <w:rsid w:val="00097C4D"/>
    <w:rsid w:val="000A6A5A"/>
    <w:rsid w:val="000B1B04"/>
    <w:rsid w:val="000B5758"/>
    <w:rsid w:val="000C3FFB"/>
    <w:rsid w:val="000C5349"/>
    <w:rsid w:val="000C704F"/>
    <w:rsid w:val="000D1BEF"/>
    <w:rsid w:val="000E221E"/>
    <w:rsid w:val="000E5A14"/>
    <w:rsid w:val="000F2DDD"/>
    <w:rsid w:val="00103D12"/>
    <w:rsid w:val="001044EF"/>
    <w:rsid w:val="00107793"/>
    <w:rsid w:val="00141FB3"/>
    <w:rsid w:val="00143640"/>
    <w:rsid w:val="00146622"/>
    <w:rsid w:val="00151AC0"/>
    <w:rsid w:val="00151DB8"/>
    <w:rsid w:val="001574DB"/>
    <w:rsid w:val="001639E6"/>
    <w:rsid w:val="0017420B"/>
    <w:rsid w:val="0019552B"/>
    <w:rsid w:val="001A1316"/>
    <w:rsid w:val="001B47FB"/>
    <w:rsid w:val="001C525C"/>
    <w:rsid w:val="001E4814"/>
    <w:rsid w:val="001F43D8"/>
    <w:rsid w:val="001F69BB"/>
    <w:rsid w:val="0020344E"/>
    <w:rsid w:val="00217977"/>
    <w:rsid w:val="00223D56"/>
    <w:rsid w:val="002319C9"/>
    <w:rsid w:val="00235DDA"/>
    <w:rsid w:val="00252DD7"/>
    <w:rsid w:val="00290EAC"/>
    <w:rsid w:val="00293ACA"/>
    <w:rsid w:val="002A1782"/>
    <w:rsid w:val="002A23DC"/>
    <w:rsid w:val="002D67AE"/>
    <w:rsid w:val="002F0F40"/>
    <w:rsid w:val="002F0F49"/>
    <w:rsid w:val="00304097"/>
    <w:rsid w:val="00343F3E"/>
    <w:rsid w:val="0035053A"/>
    <w:rsid w:val="0035182A"/>
    <w:rsid w:val="003609DB"/>
    <w:rsid w:val="00361453"/>
    <w:rsid w:val="00365F36"/>
    <w:rsid w:val="003734E1"/>
    <w:rsid w:val="00381526"/>
    <w:rsid w:val="00391275"/>
    <w:rsid w:val="003929CE"/>
    <w:rsid w:val="003A7D0E"/>
    <w:rsid w:val="003B3A66"/>
    <w:rsid w:val="003C2CCF"/>
    <w:rsid w:val="003D1291"/>
    <w:rsid w:val="003D48A4"/>
    <w:rsid w:val="003D647A"/>
    <w:rsid w:val="003E3EA7"/>
    <w:rsid w:val="003F4CDB"/>
    <w:rsid w:val="00404E18"/>
    <w:rsid w:val="00406A09"/>
    <w:rsid w:val="00421C5C"/>
    <w:rsid w:val="00424A5A"/>
    <w:rsid w:val="00452C1F"/>
    <w:rsid w:val="004645C1"/>
    <w:rsid w:val="004654FD"/>
    <w:rsid w:val="004660E2"/>
    <w:rsid w:val="0047004A"/>
    <w:rsid w:val="00472621"/>
    <w:rsid w:val="00474C09"/>
    <w:rsid w:val="004A5DF5"/>
    <w:rsid w:val="004B0888"/>
    <w:rsid w:val="004C0EED"/>
    <w:rsid w:val="004E5901"/>
    <w:rsid w:val="004F66F1"/>
    <w:rsid w:val="00531F24"/>
    <w:rsid w:val="00547CCA"/>
    <w:rsid w:val="0055334A"/>
    <w:rsid w:val="0056218D"/>
    <w:rsid w:val="00563DE0"/>
    <w:rsid w:val="005717FD"/>
    <w:rsid w:val="00577762"/>
    <w:rsid w:val="00585D27"/>
    <w:rsid w:val="0058731A"/>
    <w:rsid w:val="0059248B"/>
    <w:rsid w:val="005B0F7B"/>
    <w:rsid w:val="005B3956"/>
    <w:rsid w:val="005D0C85"/>
    <w:rsid w:val="005D32DD"/>
    <w:rsid w:val="005D5F3F"/>
    <w:rsid w:val="005E595A"/>
    <w:rsid w:val="005E5D2D"/>
    <w:rsid w:val="005E642E"/>
    <w:rsid w:val="005F3D28"/>
    <w:rsid w:val="005F6E16"/>
    <w:rsid w:val="00602A30"/>
    <w:rsid w:val="006054BF"/>
    <w:rsid w:val="00646289"/>
    <w:rsid w:val="00646C58"/>
    <w:rsid w:val="0065320E"/>
    <w:rsid w:val="00664752"/>
    <w:rsid w:val="006712E8"/>
    <w:rsid w:val="00673ABE"/>
    <w:rsid w:val="006777CE"/>
    <w:rsid w:val="006934E1"/>
    <w:rsid w:val="0069616E"/>
    <w:rsid w:val="006A7042"/>
    <w:rsid w:val="006A7123"/>
    <w:rsid w:val="006B0F4B"/>
    <w:rsid w:val="006B6DAC"/>
    <w:rsid w:val="006D7313"/>
    <w:rsid w:val="006F408B"/>
    <w:rsid w:val="00703777"/>
    <w:rsid w:val="00716804"/>
    <w:rsid w:val="00737A20"/>
    <w:rsid w:val="00737DAA"/>
    <w:rsid w:val="0074381E"/>
    <w:rsid w:val="00795DC2"/>
    <w:rsid w:val="007B55D3"/>
    <w:rsid w:val="007C220B"/>
    <w:rsid w:val="007C257B"/>
    <w:rsid w:val="007C4FF4"/>
    <w:rsid w:val="007E0D5B"/>
    <w:rsid w:val="007F218B"/>
    <w:rsid w:val="00805A45"/>
    <w:rsid w:val="00810D0C"/>
    <w:rsid w:val="00824025"/>
    <w:rsid w:val="008277F5"/>
    <w:rsid w:val="0083475B"/>
    <w:rsid w:val="00847B3C"/>
    <w:rsid w:val="00851ECC"/>
    <w:rsid w:val="00861D45"/>
    <w:rsid w:val="00866211"/>
    <w:rsid w:val="00890F33"/>
    <w:rsid w:val="008A2192"/>
    <w:rsid w:val="008B0BE1"/>
    <w:rsid w:val="008C6A37"/>
    <w:rsid w:val="008D0B65"/>
    <w:rsid w:val="008D7A7F"/>
    <w:rsid w:val="008E4B67"/>
    <w:rsid w:val="008F7F2F"/>
    <w:rsid w:val="009224E2"/>
    <w:rsid w:val="00922C71"/>
    <w:rsid w:val="00933DD8"/>
    <w:rsid w:val="00934F3E"/>
    <w:rsid w:val="00937D77"/>
    <w:rsid w:val="00946BC0"/>
    <w:rsid w:val="00962587"/>
    <w:rsid w:val="009632DC"/>
    <w:rsid w:val="009822BE"/>
    <w:rsid w:val="00990C9A"/>
    <w:rsid w:val="0099364C"/>
    <w:rsid w:val="009970B7"/>
    <w:rsid w:val="009977B3"/>
    <w:rsid w:val="009A45FD"/>
    <w:rsid w:val="009B0FCC"/>
    <w:rsid w:val="009C3FA3"/>
    <w:rsid w:val="009D1FD1"/>
    <w:rsid w:val="009F0927"/>
    <w:rsid w:val="00A01A53"/>
    <w:rsid w:val="00A020B8"/>
    <w:rsid w:val="00A169EE"/>
    <w:rsid w:val="00A25266"/>
    <w:rsid w:val="00A325D0"/>
    <w:rsid w:val="00A52A4D"/>
    <w:rsid w:val="00A56262"/>
    <w:rsid w:val="00A62D36"/>
    <w:rsid w:val="00A64852"/>
    <w:rsid w:val="00A74096"/>
    <w:rsid w:val="00A8081F"/>
    <w:rsid w:val="00A8708A"/>
    <w:rsid w:val="00A918A4"/>
    <w:rsid w:val="00A932A6"/>
    <w:rsid w:val="00AB093E"/>
    <w:rsid w:val="00AB791A"/>
    <w:rsid w:val="00AC0500"/>
    <w:rsid w:val="00AD32B4"/>
    <w:rsid w:val="00AD51D9"/>
    <w:rsid w:val="00AD6740"/>
    <w:rsid w:val="00AE3DA6"/>
    <w:rsid w:val="00AF0A58"/>
    <w:rsid w:val="00AF121D"/>
    <w:rsid w:val="00B03433"/>
    <w:rsid w:val="00B100CB"/>
    <w:rsid w:val="00B1463F"/>
    <w:rsid w:val="00B25010"/>
    <w:rsid w:val="00B370F4"/>
    <w:rsid w:val="00B4348E"/>
    <w:rsid w:val="00B44DCA"/>
    <w:rsid w:val="00B47C04"/>
    <w:rsid w:val="00B66FA2"/>
    <w:rsid w:val="00B757C2"/>
    <w:rsid w:val="00B90553"/>
    <w:rsid w:val="00B91BBF"/>
    <w:rsid w:val="00B93818"/>
    <w:rsid w:val="00BA2588"/>
    <w:rsid w:val="00BA407A"/>
    <w:rsid w:val="00BC3841"/>
    <w:rsid w:val="00BC76FF"/>
    <w:rsid w:val="00BF7933"/>
    <w:rsid w:val="00C031A8"/>
    <w:rsid w:val="00C1455B"/>
    <w:rsid w:val="00C149C4"/>
    <w:rsid w:val="00C17C17"/>
    <w:rsid w:val="00C24562"/>
    <w:rsid w:val="00C378B1"/>
    <w:rsid w:val="00C50520"/>
    <w:rsid w:val="00C516C0"/>
    <w:rsid w:val="00C64EC0"/>
    <w:rsid w:val="00C70269"/>
    <w:rsid w:val="00C8411D"/>
    <w:rsid w:val="00C84F06"/>
    <w:rsid w:val="00C91757"/>
    <w:rsid w:val="00C96C5A"/>
    <w:rsid w:val="00CA1B19"/>
    <w:rsid w:val="00CA2969"/>
    <w:rsid w:val="00CA3318"/>
    <w:rsid w:val="00CB0036"/>
    <w:rsid w:val="00CB41F1"/>
    <w:rsid w:val="00CE6EAE"/>
    <w:rsid w:val="00CE7964"/>
    <w:rsid w:val="00CE7B3E"/>
    <w:rsid w:val="00CF3C5E"/>
    <w:rsid w:val="00D03C53"/>
    <w:rsid w:val="00D055B0"/>
    <w:rsid w:val="00D07F2D"/>
    <w:rsid w:val="00D15FA8"/>
    <w:rsid w:val="00D23D4D"/>
    <w:rsid w:val="00D27938"/>
    <w:rsid w:val="00D55851"/>
    <w:rsid w:val="00D8056F"/>
    <w:rsid w:val="00D877BB"/>
    <w:rsid w:val="00D92B61"/>
    <w:rsid w:val="00DB235D"/>
    <w:rsid w:val="00DB28E7"/>
    <w:rsid w:val="00DB3194"/>
    <w:rsid w:val="00DD0075"/>
    <w:rsid w:val="00DD6E45"/>
    <w:rsid w:val="00DE5D74"/>
    <w:rsid w:val="00DF0B81"/>
    <w:rsid w:val="00DF4EF1"/>
    <w:rsid w:val="00DF6570"/>
    <w:rsid w:val="00E01833"/>
    <w:rsid w:val="00E27103"/>
    <w:rsid w:val="00E37F65"/>
    <w:rsid w:val="00E51564"/>
    <w:rsid w:val="00E62551"/>
    <w:rsid w:val="00E74166"/>
    <w:rsid w:val="00E75826"/>
    <w:rsid w:val="00E804B9"/>
    <w:rsid w:val="00E8177A"/>
    <w:rsid w:val="00E90B38"/>
    <w:rsid w:val="00E90C89"/>
    <w:rsid w:val="00E95C79"/>
    <w:rsid w:val="00EA6A5C"/>
    <w:rsid w:val="00EB06BE"/>
    <w:rsid w:val="00EB6AAF"/>
    <w:rsid w:val="00EF214E"/>
    <w:rsid w:val="00F11449"/>
    <w:rsid w:val="00F211C0"/>
    <w:rsid w:val="00F224AE"/>
    <w:rsid w:val="00F5220F"/>
    <w:rsid w:val="00F525A9"/>
    <w:rsid w:val="00F54E60"/>
    <w:rsid w:val="00F5688C"/>
    <w:rsid w:val="00F81314"/>
    <w:rsid w:val="00F86B2D"/>
    <w:rsid w:val="00F86C27"/>
    <w:rsid w:val="00F86DF0"/>
    <w:rsid w:val="00F943D8"/>
    <w:rsid w:val="00FB4035"/>
    <w:rsid w:val="00FC57FA"/>
    <w:rsid w:val="00FD6411"/>
    <w:rsid w:val="00FE3D89"/>
    <w:rsid w:val="00FE7BA7"/>
    <w:rsid w:val="099329D2"/>
    <w:rsid w:val="0E4D63C8"/>
    <w:rsid w:val="2D4C36ED"/>
    <w:rsid w:val="317500C7"/>
    <w:rsid w:val="35DB4030"/>
    <w:rsid w:val="46D2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DAC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B6DAC"/>
    <w:pPr>
      <w:shd w:val="clear" w:color="auto" w:fill="000080"/>
    </w:pPr>
  </w:style>
  <w:style w:type="paragraph" w:styleId="a4">
    <w:name w:val="Balloon Text"/>
    <w:basedOn w:val="a"/>
    <w:link w:val="Char"/>
    <w:rsid w:val="006B6DAC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B6DA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rsid w:val="006B6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6B6DAC"/>
  </w:style>
  <w:style w:type="paragraph" w:customStyle="1" w:styleId="CharChar">
    <w:name w:val="Char Char"/>
    <w:basedOn w:val="a3"/>
    <w:rsid w:val="006B6DAC"/>
    <w:pPr>
      <w:adjustRightInd/>
      <w:spacing w:line="240" w:lineRule="auto"/>
      <w:jc w:val="both"/>
      <w:textAlignment w:val="auto"/>
    </w:pPr>
  </w:style>
  <w:style w:type="character" w:customStyle="1" w:styleId="Char">
    <w:name w:val="批注框文本 Char"/>
    <w:link w:val="a4"/>
    <w:qFormat/>
    <w:rsid w:val="006B6DA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6D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187</Words>
  <Characters>1069</Characters>
  <Application>Microsoft Office Word</Application>
  <DocSecurity>0</DocSecurity>
  <Lines>8</Lines>
  <Paragraphs>2</Paragraphs>
  <ScaleCrop>false</ScaleCrop>
  <Company>微软中国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朱春礼</dc:creator>
  <cp:lastModifiedBy>a</cp:lastModifiedBy>
  <cp:revision>11</cp:revision>
  <cp:lastPrinted>2019-03-08T03:50:00Z</cp:lastPrinted>
  <dcterms:created xsi:type="dcterms:W3CDTF">2019-03-07T09:46:00Z</dcterms:created>
  <dcterms:modified xsi:type="dcterms:W3CDTF">2019-03-08T06:12:00Z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